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56" w:rsidRPr="00163456" w:rsidRDefault="00163456" w:rsidP="00163456">
      <w:pPr>
        <w:shd w:val="clear" w:color="auto" w:fill="FFFFFF"/>
        <w:adjustRightInd/>
        <w:snapToGrid/>
        <w:spacing w:after="150" w:line="450" w:lineRule="atLeast"/>
        <w:jc w:val="center"/>
        <w:outlineLvl w:val="0"/>
        <w:rPr>
          <w:rFonts w:ascii="宋体" w:eastAsia="宋体" w:hAnsi="宋体" w:cs="宋体"/>
          <w:color w:val="001497"/>
          <w:spacing w:val="8"/>
          <w:kern w:val="36"/>
          <w:sz w:val="36"/>
          <w:szCs w:val="36"/>
        </w:rPr>
      </w:pPr>
      <w:r w:rsidRPr="00163456">
        <w:rPr>
          <w:rFonts w:ascii="宋体" w:eastAsia="宋体" w:hAnsi="宋体" w:cs="宋体" w:hint="eastAsia"/>
          <w:color w:val="001497"/>
          <w:spacing w:val="8"/>
          <w:kern w:val="36"/>
          <w:sz w:val="36"/>
          <w:szCs w:val="36"/>
        </w:rPr>
        <w:t>中华人民共和国职业教育法</w:t>
      </w:r>
    </w:p>
    <w:p w:rsidR="00163456" w:rsidRPr="00163456" w:rsidRDefault="00163456" w:rsidP="00163456">
      <w:pPr>
        <w:adjustRightInd/>
        <w:snapToGrid/>
        <w:spacing w:after="0"/>
        <w:rPr>
          <w:rFonts w:ascii="宋体" w:eastAsia="宋体" w:hAnsi="宋体" w:cs="宋体" w:hint="eastAsia"/>
          <w:sz w:val="24"/>
          <w:szCs w:val="24"/>
        </w:rPr>
      </w:pPr>
      <w:r w:rsidRPr="00163456">
        <w:rPr>
          <w:rFonts w:ascii="宋体" w:eastAsia="宋体" w:hAnsi="宋体" w:cs="宋体"/>
          <w:sz w:val="24"/>
          <w:szCs w:val="24"/>
        </w:rPr>
        <w:br/>
      </w:r>
      <w:r w:rsidRPr="00163456">
        <w:rPr>
          <w:rFonts w:ascii="宋体" w:eastAsia="宋体" w:hAnsi="宋体" w:cs="宋体"/>
          <w:sz w:val="24"/>
          <w:szCs w:val="24"/>
        </w:rPr>
        <w:br/>
      </w:r>
    </w:p>
    <w:p w:rsidR="00163456" w:rsidRPr="00163456" w:rsidRDefault="00163456" w:rsidP="00163456">
      <w:pPr>
        <w:shd w:val="clear" w:color="auto" w:fill="FFFFFF"/>
        <w:adjustRightInd/>
        <w:snapToGrid/>
        <w:spacing w:after="0"/>
        <w:ind w:firstLine="560"/>
        <w:rPr>
          <w:rFonts w:ascii="宋体" w:eastAsia="宋体" w:hAnsi="宋体" w:cs="宋体"/>
          <w:color w:val="000000"/>
          <w:spacing w:val="8"/>
          <w:sz w:val="24"/>
          <w:szCs w:val="24"/>
        </w:rPr>
      </w:pPr>
      <w:r w:rsidRPr="00163456">
        <w:rPr>
          <w:rFonts w:ascii="楷体" w:eastAsia="楷体" w:hAnsi="楷体" w:cs="宋体" w:hint="eastAsia"/>
          <w:color w:val="000080"/>
          <w:spacing w:val="8"/>
          <w:sz w:val="24"/>
          <w:szCs w:val="24"/>
        </w:rPr>
        <w:t>（1996年5月15日第八届全国人民代表大会常务委员会第十九次会议通过　2022年4月20日第十三届全国人民代表大会常务委员会第三十四次会议修订）</w:t>
      </w:r>
    </w:p>
    <w:p w:rsidR="00163456" w:rsidRPr="00163456" w:rsidRDefault="00163456" w:rsidP="00163456">
      <w:pPr>
        <w:shd w:val="clear" w:color="auto" w:fill="FFFFFF"/>
        <w:adjustRightInd/>
        <w:snapToGrid/>
        <w:spacing w:after="0"/>
        <w:ind w:firstLine="560"/>
        <w:rPr>
          <w:rFonts w:ascii="宋体" w:eastAsia="宋体" w:hAnsi="宋体" w:cs="宋体" w:hint="eastAsia"/>
          <w:color w:val="000000"/>
          <w:spacing w:val="8"/>
          <w:sz w:val="24"/>
          <w:szCs w:val="24"/>
        </w:rPr>
      </w:pPr>
    </w:p>
    <w:p w:rsidR="00163456" w:rsidRPr="00163456" w:rsidRDefault="00163456" w:rsidP="00163456">
      <w:pPr>
        <w:shd w:val="clear" w:color="auto" w:fill="FFFFFF"/>
        <w:adjustRightInd/>
        <w:snapToGrid/>
        <w:spacing w:after="0"/>
        <w:jc w:val="center"/>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目</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录</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楷体" w:eastAsia="楷体" w:hAnsi="楷体" w:cs="宋体" w:hint="eastAsia"/>
          <w:color w:val="000000"/>
          <w:spacing w:val="8"/>
          <w:sz w:val="24"/>
          <w:szCs w:val="24"/>
        </w:rPr>
        <w:t>第一章</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总</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则</w:t>
      </w:r>
      <w:r w:rsidRPr="00163456">
        <w:rPr>
          <w:rFonts w:ascii="楷体" w:eastAsia="楷体" w:hAnsi="楷体" w:cs="宋体" w:hint="eastAsia"/>
          <w:color w:val="000000"/>
          <w:spacing w:val="8"/>
          <w:sz w:val="24"/>
          <w:szCs w:val="24"/>
        </w:rPr>
        <w:t> </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楷体" w:eastAsia="楷体" w:hAnsi="楷体" w:cs="宋体" w:hint="eastAsia"/>
          <w:color w:val="000000"/>
          <w:spacing w:val="8"/>
          <w:sz w:val="24"/>
          <w:szCs w:val="24"/>
        </w:rPr>
        <w:t>第二章</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职业教育体系</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楷体" w:eastAsia="楷体" w:hAnsi="楷体" w:cs="宋体" w:hint="eastAsia"/>
          <w:color w:val="000000"/>
          <w:spacing w:val="8"/>
          <w:sz w:val="24"/>
          <w:szCs w:val="24"/>
        </w:rPr>
        <w:t>第三章</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职业教育的实施</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楷体" w:eastAsia="楷体" w:hAnsi="楷体" w:cs="宋体" w:hint="eastAsia"/>
          <w:color w:val="000000"/>
          <w:spacing w:val="8"/>
          <w:sz w:val="24"/>
          <w:szCs w:val="24"/>
        </w:rPr>
        <w:t>第四章</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职业学校和职业培训机构</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楷体" w:eastAsia="楷体" w:hAnsi="楷体" w:cs="宋体" w:hint="eastAsia"/>
          <w:color w:val="000000"/>
          <w:spacing w:val="8"/>
          <w:sz w:val="24"/>
          <w:szCs w:val="24"/>
        </w:rPr>
        <w:t>第五章</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职业教育的教师与受教育者</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楷体" w:eastAsia="楷体" w:hAnsi="楷体" w:cs="宋体" w:hint="eastAsia"/>
          <w:color w:val="000000"/>
          <w:spacing w:val="8"/>
          <w:sz w:val="24"/>
          <w:szCs w:val="24"/>
        </w:rPr>
        <w:t>第六章</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职业教育的保障</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楷体" w:eastAsia="楷体" w:hAnsi="楷体" w:cs="宋体" w:hint="eastAsia"/>
          <w:color w:val="000000"/>
          <w:spacing w:val="8"/>
          <w:sz w:val="24"/>
          <w:szCs w:val="24"/>
        </w:rPr>
        <w:t>第七章</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法律责任</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楷体" w:eastAsia="楷体" w:hAnsi="楷体" w:cs="宋体" w:hint="eastAsia"/>
          <w:color w:val="000000"/>
          <w:spacing w:val="8"/>
          <w:sz w:val="24"/>
          <w:szCs w:val="24"/>
        </w:rPr>
        <w:t>第八章</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附</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 </w:t>
      </w:r>
      <w:r w:rsidRPr="00163456">
        <w:rPr>
          <w:rFonts w:ascii="楷体" w:eastAsia="楷体" w:hAnsi="楷体" w:cs="宋体" w:hint="eastAsia"/>
          <w:color w:val="000000"/>
          <w:spacing w:val="8"/>
          <w:sz w:val="24"/>
          <w:szCs w:val="24"/>
        </w:rPr>
        <w:t>则</w:t>
      </w:r>
    </w:p>
    <w:p w:rsidR="00163456" w:rsidRPr="00163456" w:rsidRDefault="00163456" w:rsidP="00163456">
      <w:pPr>
        <w:shd w:val="clear" w:color="auto" w:fill="FFFFFF"/>
        <w:adjustRightInd/>
        <w:snapToGrid/>
        <w:spacing w:after="0"/>
        <w:jc w:val="center"/>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第一章</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总</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则</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第一条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为了推动职业教育高质量发展，提高劳动者素质和技术技能水平，促进就业创业，建设教育强国、人力资源强国和技能型社会，推进社会主义现代化建设，根据宪法，制定本法。</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机关、事业单位对其工作人员实施的专门培训由法律、行政法规另行规定。</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职业教育是与普通教育具有同等重要地位的教育类型，是国民教育体系和人力资源开发的重要组成部分，是培养多样化人才、传承技术技能、促进就业创业的重要途径。</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教育必须坚持中国共产党的领导，坚持社会主义办学方向，贯彻国家的教育方针，坚持立德树人、德技并修，坚持产教融合、校企合作，坚持面向市场、促进就业，坚持面向实践、强化能力，坚持面向人人、因材施教。</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公民有依法接受职业教育的权利。</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lastRenderedPageBreak/>
        <w:t>第六条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职业教育实行政府统筹、分级管理、地方为主、行业指导、校企合作、社会参与。</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第七条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各级人民政府应当将发展职业教育纳入国民经济和社会发展规划，与促进就业创业和推动发展方式转变、产业结构调整、技术优化升级等整体部署、统筹实施。</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第八条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国务院建立职业教育工作协调机制，统筹协调全国职业教育工作。</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国务院教育行政部门负责职业教育工作的统筹规划、综合协调、宏观管理。国务院教育行政部门、人力资源社会保障行政部门和其他有关部门在国务院规定的职责范围内，分别负责有关的职业教育工作。</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省、自治区、直辖市人民政府应当加强对本行政区域内职业教育工作的领导，明确设区的市、县级人民政府职业教育具体工作职责，统筹协调职业教育发展，组织开展督导评估。</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县级以上地方人民政府有关部门应当加强沟通配合，共同推进职业教育工作。</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第九条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国家鼓励发展多种层次和形式的职业教育，推进多元办学，支持社会力量广泛、平等参与职业教育。</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国家发挥企业的重要办学主体作用，推动企业深度参与职业教育，鼓励企业举办高质量职业教育。</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有关行业主管部门、工会和中华职业教育社等群团组织、行业组织、企业、事业单位等应当依法履行实施职业教育的义务，参与、支持或者开展职业教育。</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国家采取措施，大力发展技工教育，全面提高产业工人素质。</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国家采取措施，支持举办面向农村的职业教育，组织开展农业技能培训、返乡创业就业培训和职业技能培训，培养高素质乡村振兴人才。</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国家采取措施，扶持革命老区、民族地区、边远地区、欠发达地区职业教育的发展。</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国家采取措施，组织各类转岗、再就业、失业人员以及特殊人群等接受各种形式的职业教育，扶持残疾人职业教育的发展。</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国家保障妇女平等接受职业教育的权利。</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第十一条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实施职业教育应当根据经济社会发展需要，结合职业分类、职业标准、职业发展需求，制定教育标准或者培训方案，实行学历证书及其他学业证书、培训证书、职业资格证书和职业技能等级证书制度。</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国家实行劳动者在就业前或者上岗前接受必要的职业教育的制度。</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第十二条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国家采取措施，提高技术技能人才的社会地位和待遇，弘扬劳动光荣、技能宝贵、创造伟大的时代风尚。</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国家对在职业教育工作中做出显著成绩的单位和个人按照有关规定给予表彰、奖励。</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lastRenderedPageBreak/>
        <w:t>每年5月的第二周为职业教育活动周。</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第十三条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国家鼓励职业教育领域的对外交流与合作，支持引进境外优质资源发展职业教育，鼓励有条件的职业教育机构赴境外办学，支持开展多种形式的职业教育学习成果互认。</w:t>
      </w:r>
    </w:p>
    <w:p w:rsidR="00163456" w:rsidRPr="00163456" w:rsidRDefault="00163456" w:rsidP="00163456">
      <w:pPr>
        <w:shd w:val="clear" w:color="auto" w:fill="FFFFFF"/>
        <w:adjustRightInd/>
        <w:snapToGrid/>
        <w:spacing w:after="0"/>
        <w:jc w:val="center"/>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第二章</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职业教育体系</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第十四条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国家建立健全适应经济社会发展需要，产教深度融合，职业学校教育和职业培训并重，职业教育与普通教育相互融通，不同层次职业教育有效贯通，服务全民终身学习的现代职业教育体系。</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国家优化教育结构，科学配置教育资源，在义务教育后的不同阶段因地制宜、统筹推进职业教育与普通教育协调发展。</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第十五条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职业学校教育分为中等职业学校教育、高等职业学校教育。</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中等职业学校教育由高级中等教育层次的中等职业学校（含技工学校）实施。</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高等职业学校教育由专科、本科及以上教育层次的高等职业学校和普通高等学校实施。根据高等职业学校设置制度规定，将符合条件的技师学院纳入高等职业学校序列。</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其他学校、教育机构或者符合条件的企业、行业组织按照教育行政部门的统筹规划，可以实施相应层次的职业学校教育或者提供纳入人才培养方案的学分课程。</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第十六条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职业培训包括就业前培训、在职培训、再就业培训及其他职业性培训，可以根据实际情况分级分类实施。</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职业培训可以由相应的职业培训机构、职业学校实施。</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其他学校或者教育机构以及企业、社会组织可以根据办学能力、社会需求，依法开展面向社会的、多种形式的职业培训。</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第十七条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国家建立健全各级各类学校教育与职业培训学分、资历以及其他学习成果的认证、积累和转换机制，推进职业教育国家学分银行建设，促进职业教育与普通教育的学习成果融通、互认。</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军队职业技能等级纳入国家职业资格认证和职业技能等级评价体系。</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第十八条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残疾人职业教育除由残疾人教育机构实施外，各级各类职业学校和职业培训机构及其他教育机构应当按照国家有关规定接纳残疾学生，并加强无障碍环境建设，为残疾学生学习、生活提供必要的帮助和便利。</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国家采取措施，支持残疾人教育机构、职业学校、职业培训机构及其他教育机构开展或者联合开展残疾人职业教育。</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从事残疾人职业教育的特殊教育教师按照规定享受特殊教育津贴。</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第十九条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rsidR="00163456" w:rsidRPr="00163456" w:rsidRDefault="00163456" w:rsidP="00163456">
      <w:pPr>
        <w:shd w:val="clear" w:color="auto" w:fill="FFFFFF"/>
        <w:adjustRightInd/>
        <w:snapToGrid/>
        <w:spacing w:after="0"/>
        <w:jc w:val="center"/>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第三章</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职业教育的实施</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lastRenderedPageBreak/>
        <w:t>第二十条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国务院教育行政部门会同有关部门根据经济社会发展需要和职业教育特点，组织制定、修订职业教育专业目录，完善职业教育教学等标准，宏观管理指导职业学校教材建设。</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第二十一条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县级以上地方人民政府应当举办或者参与举办发挥骨干和示范作用的职业学校、职业培训机构，对社会力量依法举办的职业学校和职业培训机构给予指导和扶持。</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国家根据产业布局和行业发展需要，采取措施，大力发展先进制造等产业需要的新兴专业，支持高水平职业学校、专业建设。</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国家采取措施，加快培养托育、护理、康养、家政等方面技术技能人才。</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第二十二条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县级人民政府可以根据县域经济社会发展的需要，设立职业教育中心学校，开展多种形式的职业教育，实施实用技术培训。</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教育行政部门可以委托职业教育中心学校承担教育教学指导、教育质量评价、教师培训等职业教育公共管理和服务工作。</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第二十三条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行业主管部门按照行业、产业人才需求加强对职业教育的指导，定期发布人才需求信息。</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第二十四条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企业应当根据本单位实际，有计划地对本单位的职工和准备招用的人员实施职业教育，并可以设置专职或者兼职实施职业教育的岗位。</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企业开展职业教育的情况应当纳入企业社会责任报告。</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第二十五条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企业可以利用资本、技术、知识、设施、设备、场地和管理等要素，举办或者联合举办职业学校、职业培训机构。</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第二十六条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国家鼓励、指导、支持企业和其他社会力量依法举办职业学校、职业培训机构。</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第二十七条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对深度参与产教融合、校企合作，在提升技术技能人才培养质量、促进就业中发挥重要主体作用的企业，按照规定给予奖励；对符</w:t>
      </w:r>
      <w:r w:rsidRPr="00163456">
        <w:rPr>
          <w:rFonts w:ascii="宋体" w:eastAsia="宋体" w:hAnsi="宋体" w:cs="宋体" w:hint="eastAsia"/>
          <w:color w:val="000000"/>
          <w:spacing w:val="8"/>
          <w:sz w:val="24"/>
          <w:szCs w:val="24"/>
        </w:rPr>
        <w:lastRenderedPageBreak/>
        <w:t>合条件认定为产教融合型企业的，按照规定给予金融、财政、土地等支持，落实教育费附加、地方教育附加减免及其他税费优惠。</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第二十八条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联合举办职业学校、职业培训机构的，举办者应当签订联合办学协议，约定各方权利义务。</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地方各级人民政府及行业主管部门支持社会力量依法参与联合办学，举办多种形式的职业学校、职业培训机构。</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行业主管部门、工会等群团组织、行业组织、企业、事业单位等委托学校、职业培训机构实施职业教育的，应当签订委托合同。</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第二十九条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企业与职业学校联合招收学生，以工学结合的方式进行学徒培养的，应当签订学徒培养协议。</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第三十一条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第三十二条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国家通过组织开展职业技能竞赛等活动，为技术技能人才提供展示技能、切磋技艺的平台，持续培养更多高素质技术技能人才、能工巧匠和大国工匠。</w:t>
      </w:r>
    </w:p>
    <w:p w:rsidR="00163456" w:rsidRPr="00163456" w:rsidRDefault="00163456" w:rsidP="00163456">
      <w:pPr>
        <w:shd w:val="clear" w:color="auto" w:fill="FFFFFF"/>
        <w:adjustRightInd/>
        <w:snapToGrid/>
        <w:spacing w:after="0"/>
        <w:jc w:val="center"/>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第四章</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职业学校和职业培训机构</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第三十三条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职业学校的设立，应当符合下列基本条件：</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（一）有组织机构和章程；</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（二）有合格的教师和管理人员；</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（三）有与所实施职业教育相适应、符合规定标准和安全要求的教学及实习实训场所、设施、设备以及课程体系、教育教学资源等；</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（四）有必备的办学资金和与办学规模相适应的稳定经费来源。</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lastRenderedPageBreak/>
        <w:t>专科层次高等职业学校设置的培养高端技术技能人才的部分专业，符合产教深度融合、办学特色鲜明、培养质量较高等条件的，经国务院教育行政部门审批，可以实施本科层次的职业教育。</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第三十四条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职业培训机构的设立，应当符合下列基本条件：</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（一）有组织机构和管理制度；</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（二）有与培训任务相适应的课程体系、教师或者其他授课人员、管理人员；</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（三）有与培训任务相适应、符合安全要求的场所、设施、设备；</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（四）有相应的经费。</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职业培训机构的设立、变更和终止，按照国家有关规定执行。</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第三十五条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校长全面负责本学校教学、科学研究和其他行政管理工作。校长通过校长办公会或者校务会议行使职权，依法接受监督。</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职业学校可以通过咨询、协商等多种形式，听取行业组织、企业、学校毕业生等方面代表的意见，发挥其参与学校建设、支持学校发展的作用。</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第三十六条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职业学校应当依法办学，依据章程自主管理。</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职业学校在办学中可以开展下列活动：</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（一）根据产业需求，依法自主设置专业；</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（二）基于职业教育标准制定人才培养方案，依法自主选用或者编写专业课程教材；</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（三）根据培养技术技能人才的需要，自主设置学习制度，安排教学过程；</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（四）在基本学制基础上，适当调整修业年限，实行弹性学习制度；</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（五）依法自主选聘专业课教师。</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第三十七条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国家建立符合职业教育特点的考试招生制度。</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中等职业学校可以按照国家有关规定，在有关专业实行与高等职业学校教育的贯通招生和培养。</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高等职业学校可以按照国家有关规定，采取文化素质与职业技能相结合的考核方式招收学生；对有突出贡献的技术技能人才，经考核合格，可以破格录取。</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lastRenderedPageBreak/>
        <w:t>省级以上人民政府教育行政部门会同同级人民政府有关部门建立职业教育统一招生平台，汇总发布实施职业教育的学校及其专业设置、招生情况等信息，提供查询、报考等服务。</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第三十八条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职业学校应当加强校风学风、师德师风建设，营造良好学习环境，保证教育教学质量。</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第三十九条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职业学校应当建立健全就业创业促进机制，采取多种形式为学生提供职业规划、职业体验、求职指导等就业创业服务，增强学生就业创业能力。</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第四十条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职业学校、职业培训机构实施职业教育应当注重产教融合，实行校企合作。</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职业学校、职业培训机构可以通过与行业组织、企业、事业单位等共同举办职业教育机构、组建职业教育集团、开展订单培养等多种形式进行合作。</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第四十一条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职业学校、职业培训机构实施前款规定的活动，符合国家有关规定的，享受相关税费优惠政策。</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第四十二条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职业学校按照规定的收费标准和办法，收取学费和其他必要费用；符合国家规定条件的，应当予以减免；不得以介绍工作、安排实习实训等名义违法收取费用。</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职业培训机构、职业学校面向社会开展培训的，按照国家有关规定收取费用。</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第四十三条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职业学校、职业培训机构应当建立健全教育质量评价制度，吸纳行业组织、企业等参与评价，并及时公开相关信息，接受教育督导和社会监督。</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职业教育质量评价应当突出就业导向，把受教育者的职业道德、技术技能水平、就业质量作为重要指标，引导职业学校培养高素质技术技能人才。</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有关部门应当按照各自职责，加强对职业学校、职业培训机构的监督管理。</w:t>
      </w:r>
    </w:p>
    <w:p w:rsidR="00163456" w:rsidRPr="00163456" w:rsidRDefault="00163456" w:rsidP="00163456">
      <w:pPr>
        <w:shd w:val="clear" w:color="auto" w:fill="FFFFFF"/>
        <w:adjustRightInd/>
        <w:snapToGrid/>
        <w:spacing w:after="0"/>
        <w:jc w:val="center"/>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第五章</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职业教育的教师与受教育者</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lastRenderedPageBreak/>
        <w:t>第四十四</w:t>
      </w:r>
      <w:r w:rsidRPr="00163456">
        <w:rPr>
          <w:rFonts w:ascii="宋体" w:eastAsia="宋体" w:hAnsi="宋体" w:cs="宋体" w:hint="eastAsia"/>
          <w:color w:val="000000"/>
          <w:spacing w:val="8"/>
          <w:sz w:val="24"/>
          <w:szCs w:val="24"/>
        </w:rPr>
        <w:t>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国家保障职业教育教师的权利，提高其专业素质与社会地位。</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县级以上人民政府及其有关部门应当将职业教育教师的培养培训工作纳入教师队伍建设规划，保证职业教育教师队伍适应职业教育发展的需要。</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第四十五条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国家建立健全职业教育教师培养培训体系。</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各级人民政府应当采取措施，加强职业教育教师专业化培养培训，鼓励设立专门的职业教育师范院校，支持高等学校设立相关专业，培养职业教育教师；鼓励行业组织、企业共同参与职业教育教师培养培训。</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产教融合型企业、规模以上企业应当安排一定比例的岗位，接纳职业学校、职业培训机构教师实践。</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第四十六条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国家建立健全符合职业教育特点和发展要求的职业学校教师岗位设置和职务（职称）评聘制度。</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职业学校的专业课教师（含实习指导教师）应当具有一定年限的相应工作经历或者实践经验，达到相应的技术技能水平。</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第四十七条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国家鼓励职业学校聘请技能大师、劳动模范、能工巧匠、非物质文化遗产代表性传承人等高技能人才，通过担任专职或者兼职专业课教师、设立工作室等方式，参与人才培养、技术开发、技能传承等工作。</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第四十八条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国家制定职业学校教职工配备基本标准。省、自治区、直辖市应当根据基本标准，制定本地区职业学校教职工配备标准。</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县级以上地方人民政府应当根据教职工配备标准、办学规模等，确定公办职业学校教职工人员规模，其中一定比例可以用于支持职业学校面向社会公开招聘专业技术人员、技能人才担任专职或者兼职教师。</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第四十九条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职业学校学生应当遵守法律、法规和学生行为规范，养成良好的职业道德、职业精神和行为习惯，努力学习，完成规定的学习任务，按照要求参加实习实训，掌握技术技能。</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职业学校学生的合法权益，受法律保护。</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第五十条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lastRenderedPageBreak/>
        <w:t>第五十一条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学业证书、培训证书、职业资格证书和职业技能等级证书，按照国家有关规定，作为受教育者从业的凭证。</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接受职业培训取得的职业技能等级证书、培训证书等学习成果，经职业学校认定，可以转化为相应的学历教育学分；达到相应职业学校学业要求的，可以取得相应的学业证书。</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接受高等职业学校教育，学业水平达到国家规定的学位标准的，可以依法申请相应学位。</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第五十二条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国家建立对职业学校学生的奖励和资助制度，对特别优秀的学生进行奖励，对经济困难的学生提供资助，并向艰苦、特殊行业等专业学生适当倾斜。国家根据经济社会发展情况适时调整奖励和资助标准。</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国家支持企业、事业单位、社会组织及公民个人按照国家有关规定设立职业教育奖学金、助学金，奖励优秀学生，资助经济困难的学生。</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职业学校应当按照国家有关规定从事业收入或者学费收入中提取一定比例资金，用于奖励和资助学生。</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省、自治区、直辖市人民政府有关部门应当完善职业学校资助资金管理制度，规范资助资金管理使用。</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第五十三条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职业学校学生在升学、就业、职业发展等方面与同层次普通学校学生享有平等机会。</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高等职业学校和实施职业教育的普通高等学校应当在招生计划中确定相应比例或者采取单独考试办法，专门招收职业学校毕业生。</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rsidR="00163456" w:rsidRPr="00163456" w:rsidRDefault="00163456" w:rsidP="00163456">
      <w:pPr>
        <w:shd w:val="clear" w:color="auto" w:fill="FFFFFF"/>
        <w:adjustRightInd/>
        <w:snapToGrid/>
        <w:spacing w:after="0"/>
        <w:jc w:val="center"/>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第六章</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职业教育的保障</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第五十四条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国家优化教育经费支出结构，使职业教育经费投入与职业教育发展需求相适应，鼓励通过多种渠道依法筹集发展职业教育的资金。</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第五十五条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各级人民政府应当按照事权和支出责任相适应的原则，根据职业教育办学规模、培养成本和办学质量等落实职业教育经费，并加强预算绩效管理，提高资金使用效益。</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lastRenderedPageBreak/>
        <w:t>民办职业学校举办者应当参照同层次职业学校生均经费标准，通过多种渠道筹措经费。</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财政专项安排、社会捐赠指定用于职业教育的经费，任何组织和个人不得挪用、克扣。</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第五十六条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地方各级人民政府安排地方教育附加等方面的经费，应当将其中可用于职业教育的资金统筹使用；发挥失业保险基金作用，支持职工提升职业技能。</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第五十七条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各级人民政府加大面向农村的职业教育投入，可以将农村科学技术开发、技术推广的经费适当用于农村职业培训。</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第五十八条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企业设立具备生产与教学功能的产教融合实习实训基地所发生的费用，可以参照职业学校享受相应的用地、公用事业费等优惠。</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第五十九条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国家鼓励金融机构通过提供金融服务支持发展职业教育。</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第六十条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国家鼓励企业、事业单位、社会组织及公民个人对职业教育捐资助学，鼓励境外的组织和个人对职业教育提供资助和捐赠。提供的资助和捐赠，必须用于职业教育。</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第六十一条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国家鼓励和支持开展职业教育的科学技术研究、教材和教学资源开发，推进职业教育资源跨区域、跨行业、跨部门共建共享。</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国家逐步建立反映职业教育特点和功能的信息统计和管理体系。</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县级以上人民政府及其有关部门应当建立健全职业教育服务和保障体系，组织、引导工会等群团组织、行业组织、企业、学校等开展职业教育研究、宣传推广、人才供需对接等活动。</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第六十二条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新闻媒体和职业教育有关方面应当积极开展职业教育公益宣传，弘扬技术技能人才成长成才典型事迹，营造人人努力成才、人人皆可成才、人人尽展其才的良好社会氛围。</w:t>
      </w:r>
    </w:p>
    <w:p w:rsidR="00163456" w:rsidRPr="00163456" w:rsidRDefault="00163456" w:rsidP="00163456">
      <w:pPr>
        <w:shd w:val="clear" w:color="auto" w:fill="FFFFFF"/>
        <w:adjustRightInd/>
        <w:snapToGrid/>
        <w:spacing w:after="0"/>
        <w:jc w:val="center"/>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第七章</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法律责任</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第六十三条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在职业教育活动中违反《中华人民共和国教育法》、《中华人民共和国劳动法》等有关法律规定的，依照有关法律的规定给予处罚。</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第六十四条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企业未依照本法规定对本单位的职工和准备招用的人员实施职业教育、提取和使用职工教育经费的，由有关部门责令改正；拒不改正的，由县级以上人民政府收取其应当承担的职工教育经费，用于职业教育。</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第六十五条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lastRenderedPageBreak/>
        <w:t>第六十六条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接纳职业学校和职业培训机构学生实习的单位违反本法规定，侵害学生休息休假、获得劳动安全卫生保护、参加相关保险、接受职业技能指导等权利的，依法承担相应的法律责任。</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rsidR="00163456" w:rsidRPr="00163456" w:rsidRDefault="00163456" w:rsidP="00163456">
      <w:pPr>
        <w:shd w:val="clear" w:color="auto" w:fill="FFFFFF"/>
        <w:adjustRightInd/>
        <w:snapToGrid/>
        <w:spacing w:before="180" w:after="0"/>
        <w:ind w:firstLine="480"/>
        <w:rPr>
          <w:rFonts w:ascii="宋体" w:eastAsia="宋体" w:hAnsi="宋体" w:cs="宋体" w:hint="eastAsia"/>
          <w:color w:val="000000"/>
          <w:spacing w:val="8"/>
          <w:sz w:val="24"/>
          <w:szCs w:val="24"/>
        </w:rPr>
      </w:pPr>
      <w:r w:rsidRPr="00163456">
        <w:rPr>
          <w:rFonts w:ascii="宋体" w:eastAsia="宋体" w:hAnsi="宋体" w:cs="宋体" w:hint="eastAsia"/>
          <w:color w:val="000000"/>
          <w:spacing w:val="8"/>
          <w:sz w:val="24"/>
          <w:szCs w:val="24"/>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第六十七条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教育行政部门、人力资源社会保障行政部门或者其他有关部门的工作人员违反本法规定，滥用职权、玩忽职守、徇私舞弊的，依法给予处分；构成犯罪的，依法追究刑事责任。</w:t>
      </w:r>
    </w:p>
    <w:p w:rsidR="00163456" w:rsidRPr="00163456" w:rsidRDefault="00163456" w:rsidP="00163456">
      <w:pPr>
        <w:shd w:val="clear" w:color="auto" w:fill="FFFFFF"/>
        <w:adjustRightInd/>
        <w:snapToGrid/>
        <w:spacing w:after="0"/>
        <w:jc w:val="center"/>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第八章</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附</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 </w:t>
      </w:r>
      <w:r w:rsidRPr="00163456">
        <w:rPr>
          <w:rFonts w:ascii="黑体" w:eastAsia="黑体" w:hAnsi="黑体" w:cs="宋体" w:hint="eastAsia"/>
          <w:color w:val="000000"/>
          <w:spacing w:val="8"/>
          <w:sz w:val="24"/>
          <w:szCs w:val="24"/>
        </w:rPr>
        <w:t>则</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第六十八条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境外的组织和个人在境内举办职业学校、职业培训机构，适用本法；法律、行政法规另有规定的，从其规定。</w:t>
      </w:r>
    </w:p>
    <w:p w:rsidR="00163456" w:rsidRPr="00163456" w:rsidRDefault="00163456" w:rsidP="00163456">
      <w:pPr>
        <w:shd w:val="clear" w:color="auto" w:fill="FFFFFF"/>
        <w:adjustRightInd/>
        <w:snapToGrid/>
        <w:spacing w:after="0"/>
        <w:ind w:firstLine="480"/>
        <w:rPr>
          <w:rFonts w:ascii="宋体" w:eastAsia="宋体" w:hAnsi="宋体" w:cs="宋体" w:hint="eastAsia"/>
          <w:color w:val="000000"/>
          <w:spacing w:val="8"/>
          <w:sz w:val="24"/>
          <w:szCs w:val="24"/>
        </w:rPr>
      </w:pPr>
      <w:r w:rsidRPr="00163456">
        <w:rPr>
          <w:rFonts w:ascii="黑体" w:eastAsia="黑体" w:hAnsi="黑体" w:cs="宋体" w:hint="eastAsia"/>
          <w:color w:val="000000"/>
          <w:spacing w:val="8"/>
          <w:sz w:val="24"/>
          <w:szCs w:val="24"/>
        </w:rPr>
        <w:t>第六十九条</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 </w:t>
      </w:r>
      <w:r w:rsidRPr="00163456">
        <w:rPr>
          <w:rFonts w:ascii="宋体" w:eastAsia="宋体" w:hAnsi="宋体" w:cs="宋体" w:hint="eastAsia"/>
          <w:color w:val="000000"/>
          <w:spacing w:val="8"/>
          <w:sz w:val="24"/>
          <w:szCs w:val="24"/>
        </w:rPr>
        <w:t>本法自2022年5月1日起施行。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63456"/>
    <w:rsid w:val="00323B43"/>
    <w:rsid w:val="003D37D8"/>
    <w:rsid w:val="003E62EA"/>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63456"/>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3456"/>
    <w:rPr>
      <w:rFonts w:ascii="宋体" w:eastAsia="宋体" w:hAnsi="宋体" w:cs="宋体"/>
      <w:b/>
      <w:bCs/>
      <w:kern w:val="36"/>
      <w:sz w:val="48"/>
      <w:szCs w:val="48"/>
    </w:rPr>
  </w:style>
  <w:style w:type="paragraph" w:styleId="a3">
    <w:name w:val="Normal (Web)"/>
    <w:basedOn w:val="a"/>
    <w:uiPriority w:val="99"/>
    <w:semiHidden/>
    <w:unhideWhenUsed/>
    <w:rsid w:val="0016345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970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2022-04-21T01:06:00Z</dcterms:modified>
</cp:coreProperties>
</file>