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60" w:rsidRDefault="00525660" w:rsidP="00525660">
      <w:pPr>
        <w:pStyle w:val="a3"/>
        <w:widowControl/>
        <w:spacing w:beforeAutospacing="0" w:afterAutospacing="0" w:line="360" w:lineRule="auto"/>
        <w:textAlignment w:val="baseline"/>
        <w:rPr>
          <w:rFonts w:ascii="仿宋" w:eastAsia="仿宋" w:hAnsi="仿宋" w:cs="仿宋"/>
          <w:color w:val="333333"/>
          <w:shd w:val="clear" w:color="auto" w:fill="FFFFFF"/>
        </w:rPr>
      </w:pPr>
      <w:r>
        <w:rPr>
          <w:rFonts w:ascii="仿宋" w:eastAsia="仿宋" w:hAnsi="仿宋" w:cs="仿宋" w:hint="eastAsia"/>
          <w:color w:val="333333"/>
          <w:shd w:val="clear" w:color="auto" w:fill="FFFFFF"/>
        </w:rPr>
        <w:t>附件2：</w:t>
      </w:r>
    </w:p>
    <w:p w:rsidR="00525660" w:rsidRDefault="00525660" w:rsidP="00525660">
      <w:pPr>
        <w:pStyle w:val="a3"/>
        <w:widowControl/>
        <w:spacing w:beforeAutospacing="0" w:afterAutospacing="0" w:line="360" w:lineRule="auto"/>
        <w:jc w:val="center"/>
        <w:textAlignment w:val="baseline"/>
        <w:rPr>
          <w:rFonts w:ascii="仿宋" w:eastAsia="仿宋" w:hAnsi="仿宋" w:cs="仿宋"/>
          <w:color w:val="333333"/>
          <w:shd w:val="clear" w:color="auto" w:fill="FFFFFF"/>
        </w:rPr>
      </w:pPr>
      <w:bookmarkStart w:id="0" w:name="_GoBack"/>
      <w:r>
        <w:rPr>
          <w:rFonts w:ascii="黑体" w:eastAsia="黑体" w:hAnsi="黑体" w:cs="黑体" w:hint="eastAsia"/>
          <w:color w:val="333333"/>
          <w:sz w:val="28"/>
          <w:szCs w:val="28"/>
          <w:shd w:val="clear" w:color="auto" w:fill="FFFFFF"/>
        </w:rPr>
        <w:t>郑州电力职业技术学院“课程思政”示范课程评审指标体系</w:t>
      </w:r>
    </w:p>
    <w:tbl>
      <w:tblPr>
        <w:tblpPr w:leftFromText="180" w:rightFromText="180" w:vertAnchor="text" w:horzAnchor="page" w:tblpXSpec="center" w:tblpY="28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588"/>
        <w:gridCol w:w="4341"/>
        <w:gridCol w:w="761"/>
        <w:gridCol w:w="793"/>
      </w:tblGrid>
      <w:tr w:rsidR="00525660" w:rsidTr="00F90021">
        <w:trPr>
          <w:trHeight w:val="538"/>
          <w:jc w:val="center"/>
        </w:trPr>
        <w:tc>
          <w:tcPr>
            <w:tcW w:w="1522" w:type="dxa"/>
            <w:vAlign w:val="center"/>
          </w:tcPr>
          <w:bookmarkEnd w:id="0"/>
          <w:p w:rsidR="00525660" w:rsidRDefault="00525660" w:rsidP="00F90021">
            <w:pPr>
              <w:spacing w:line="360" w:lineRule="auto"/>
              <w:jc w:val="center"/>
              <w:rPr>
                <w:rFonts w:ascii="宋体" w:hAnsi="宋体" w:cs="宋体"/>
                <w:b/>
                <w:sz w:val="24"/>
              </w:rPr>
            </w:pPr>
            <w:r>
              <w:rPr>
                <w:rFonts w:ascii="宋体" w:hAnsi="宋体" w:cs="宋体" w:hint="eastAsia"/>
                <w:b/>
                <w:sz w:val="24"/>
              </w:rPr>
              <w:t>一级指标</w:t>
            </w:r>
          </w:p>
        </w:tc>
        <w:tc>
          <w:tcPr>
            <w:tcW w:w="1588" w:type="dxa"/>
            <w:vAlign w:val="center"/>
          </w:tcPr>
          <w:p w:rsidR="00525660" w:rsidRDefault="00525660" w:rsidP="00F90021">
            <w:pPr>
              <w:spacing w:line="360" w:lineRule="auto"/>
              <w:jc w:val="center"/>
              <w:rPr>
                <w:rFonts w:ascii="宋体" w:hAnsi="宋体" w:cs="宋体"/>
                <w:b/>
                <w:sz w:val="24"/>
              </w:rPr>
            </w:pPr>
            <w:r>
              <w:rPr>
                <w:rFonts w:ascii="宋体" w:hAnsi="宋体" w:cs="宋体" w:hint="eastAsia"/>
                <w:b/>
                <w:sz w:val="24"/>
              </w:rPr>
              <w:t>二级指标</w:t>
            </w:r>
          </w:p>
        </w:tc>
        <w:tc>
          <w:tcPr>
            <w:tcW w:w="4341" w:type="dxa"/>
            <w:vAlign w:val="center"/>
          </w:tcPr>
          <w:p w:rsidR="00525660" w:rsidRDefault="00525660" w:rsidP="00F90021">
            <w:pPr>
              <w:spacing w:line="360" w:lineRule="auto"/>
              <w:jc w:val="center"/>
              <w:rPr>
                <w:rFonts w:ascii="宋体" w:hAnsi="宋体" w:cs="宋体"/>
                <w:b/>
                <w:sz w:val="24"/>
              </w:rPr>
            </w:pPr>
            <w:r>
              <w:rPr>
                <w:rFonts w:ascii="宋体" w:hAnsi="宋体" w:cs="宋体" w:hint="eastAsia"/>
                <w:b/>
                <w:sz w:val="24"/>
              </w:rPr>
              <w:t>评价标准</w:t>
            </w:r>
          </w:p>
        </w:tc>
        <w:tc>
          <w:tcPr>
            <w:tcW w:w="761" w:type="dxa"/>
            <w:vAlign w:val="center"/>
          </w:tcPr>
          <w:p w:rsidR="00525660" w:rsidRDefault="00525660" w:rsidP="00F90021">
            <w:pPr>
              <w:spacing w:line="360" w:lineRule="auto"/>
              <w:jc w:val="center"/>
              <w:rPr>
                <w:rFonts w:ascii="宋体" w:hAnsi="宋体" w:cs="宋体"/>
                <w:b/>
                <w:sz w:val="24"/>
              </w:rPr>
            </w:pPr>
            <w:r>
              <w:rPr>
                <w:rFonts w:ascii="宋体" w:hAnsi="宋体" w:cs="宋体" w:hint="eastAsia"/>
                <w:b/>
                <w:sz w:val="24"/>
              </w:rPr>
              <w:t>分值</w:t>
            </w:r>
          </w:p>
        </w:tc>
        <w:tc>
          <w:tcPr>
            <w:tcW w:w="793" w:type="dxa"/>
            <w:vAlign w:val="center"/>
          </w:tcPr>
          <w:p w:rsidR="00525660" w:rsidRDefault="00525660" w:rsidP="00F90021">
            <w:pPr>
              <w:spacing w:line="360" w:lineRule="auto"/>
              <w:jc w:val="center"/>
              <w:rPr>
                <w:rFonts w:ascii="宋体" w:hAnsi="宋体" w:cs="宋体"/>
                <w:b/>
                <w:sz w:val="24"/>
              </w:rPr>
            </w:pPr>
            <w:r>
              <w:rPr>
                <w:rFonts w:ascii="宋体" w:hAnsi="宋体" w:cs="宋体" w:hint="eastAsia"/>
                <w:b/>
                <w:sz w:val="24"/>
              </w:rPr>
              <w:t>得分</w:t>
            </w:r>
          </w:p>
        </w:tc>
      </w:tr>
      <w:tr w:rsidR="00525660" w:rsidTr="00F90021">
        <w:trPr>
          <w:trHeight w:val="1066"/>
          <w:jc w:val="center"/>
        </w:trPr>
        <w:tc>
          <w:tcPr>
            <w:tcW w:w="1522" w:type="dxa"/>
            <w:vMerge w:val="restart"/>
            <w:vAlign w:val="center"/>
          </w:tcPr>
          <w:p w:rsidR="00525660" w:rsidRDefault="00525660" w:rsidP="00F90021">
            <w:pPr>
              <w:spacing w:line="360" w:lineRule="auto"/>
              <w:jc w:val="center"/>
              <w:rPr>
                <w:rFonts w:ascii="仿宋" w:eastAsia="仿宋" w:hAnsi="仿宋" w:cs="仿宋"/>
                <w:b/>
                <w:sz w:val="24"/>
              </w:rPr>
            </w:pPr>
            <w:r>
              <w:rPr>
                <w:rFonts w:ascii="仿宋" w:eastAsia="仿宋" w:hAnsi="仿宋" w:cs="仿宋" w:hint="eastAsia"/>
                <w:b/>
                <w:sz w:val="24"/>
              </w:rPr>
              <w:t>教学团队</w:t>
            </w:r>
          </w:p>
          <w:p w:rsidR="00525660" w:rsidRDefault="00525660" w:rsidP="00F90021">
            <w:pPr>
              <w:spacing w:line="360" w:lineRule="auto"/>
              <w:jc w:val="center"/>
              <w:rPr>
                <w:rFonts w:ascii="宋体" w:hAnsi="宋体" w:cs="宋体"/>
                <w:b/>
                <w:sz w:val="24"/>
              </w:rPr>
            </w:pPr>
            <w:r>
              <w:rPr>
                <w:rFonts w:ascii="仿宋" w:eastAsia="仿宋" w:hAnsi="仿宋" w:cs="仿宋" w:hint="eastAsia"/>
                <w:b/>
                <w:sz w:val="24"/>
              </w:rPr>
              <w:t>(15分)</w:t>
            </w:r>
          </w:p>
        </w:tc>
        <w:tc>
          <w:tcPr>
            <w:tcW w:w="1588"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结构及分工</w:t>
            </w:r>
          </w:p>
        </w:tc>
        <w:tc>
          <w:tcPr>
            <w:tcW w:w="4341" w:type="dxa"/>
            <w:vAlign w:val="center"/>
          </w:tcPr>
          <w:p w:rsidR="00525660" w:rsidRDefault="00525660" w:rsidP="00F90021">
            <w:pPr>
              <w:rPr>
                <w:rFonts w:ascii="仿宋_GB2312" w:eastAsia="仿宋_GB2312" w:cs="仿宋_GB2312"/>
                <w:kern w:val="0"/>
                <w:sz w:val="24"/>
              </w:rPr>
            </w:pPr>
            <w:r>
              <w:rPr>
                <w:rFonts w:ascii="仿宋_GB2312" w:eastAsia="仿宋_GB2312" w:cs="仿宋_GB2312"/>
                <w:kern w:val="0"/>
                <w:sz w:val="24"/>
              </w:rPr>
              <w:t>教学团队课程</w:t>
            </w:r>
            <w:proofErr w:type="gramStart"/>
            <w:r>
              <w:rPr>
                <w:rFonts w:ascii="仿宋_GB2312" w:eastAsia="仿宋_GB2312" w:cs="仿宋_GB2312"/>
                <w:kern w:val="0"/>
                <w:sz w:val="24"/>
              </w:rPr>
              <w:t>思政教学</w:t>
            </w:r>
            <w:proofErr w:type="gramEnd"/>
            <w:r>
              <w:rPr>
                <w:rFonts w:ascii="仿宋_GB2312" w:eastAsia="仿宋_GB2312" w:cs="仿宋_GB2312"/>
                <w:kern w:val="0"/>
                <w:sz w:val="24"/>
              </w:rPr>
              <w:t>改革意识强烈，人员结构及任务分工合理。</w:t>
            </w:r>
            <w:r>
              <w:rPr>
                <w:rFonts w:ascii="仿宋_GB2312" w:eastAsia="仿宋_GB2312" w:cs="仿宋_GB2312" w:hint="eastAsia"/>
                <w:kern w:val="0"/>
                <w:sz w:val="24"/>
              </w:rPr>
              <w:t>团队成员教学经验丰富、教学成果突出。</w:t>
            </w:r>
          </w:p>
        </w:tc>
        <w:tc>
          <w:tcPr>
            <w:tcW w:w="761"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10分</w:t>
            </w:r>
          </w:p>
        </w:tc>
        <w:tc>
          <w:tcPr>
            <w:tcW w:w="793" w:type="dxa"/>
            <w:vMerge w:val="restart"/>
            <w:vAlign w:val="center"/>
          </w:tcPr>
          <w:p w:rsidR="00525660" w:rsidRDefault="00525660" w:rsidP="00F90021">
            <w:pPr>
              <w:spacing w:line="360" w:lineRule="auto"/>
              <w:jc w:val="center"/>
              <w:rPr>
                <w:rFonts w:ascii="宋体" w:hAnsi="宋体" w:cs="宋体"/>
                <w:sz w:val="24"/>
              </w:rPr>
            </w:pPr>
          </w:p>
        </w:tc>
      </w:tr>
      <w:tr w:rsidR="00525660" w:rsidTr="00F90021">
        <w:trPr>
          <w:trHeight w:val="1066"/>
          <w:jc w:val="center"/>
        </w:trPr>
        <w:tc>
          <w:tcPr>
            <w:tcW w:w="1522" w:type="dxa"/>
            <w:vMerge/>
            <w:vAlign w:val="center"/>
          </w:tcPr>
          <w:p w:rsidR="00525660" w:rsidRDefault="00525660" w:rsidP="00F90021">
            <w:pPr>
              <w:spacing w:line="360" w:lineRule="auto"/>
              <w:jc w:val="center"/>
              <w:rPr>
                <w:rFonts w:ascii="宋体" w:hAnsi="宋体" w:cs="宋体"/>
                <w:b/>
                <w:sz w:val="24"/>
              </w:rPr>
            </w:pPr>
          </w:p>
        </w:tc>
        <w:tc>
          <w:tcPr>
            <w:tcW w:w="1588"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课程负责人</w:t>
            </w:r>
          </w:p>
        </w:tc>
        <w:tc>
          <w:tcPr>
            <w:tcW w:w="4341" w:type="dxa"/>
            <w:vAlign w:val="center"/>
          </w:tcPr>
          <w:p w:rsidR="00525660" w:rsidRDefault="00525660" w:rsidP="00F90021">
            <w:pPr>
              <w:rPr>
                <w:rFonts w:ascii="仿宋_GB2312" w:eastAsia="仿宋_GB2312" w:cs="仿宋_GB2312"/>
                <w:kern w:val="0"/>
                <w:sz w:val="24"/>
              </w:rPr>
            </w:pPr>
            <w:r>
              <w:rPr>
                <w:rFonts w:ascii="仿宋_GB2312" w:eastAsia="仿宋_GB2312" w:cs="仿宋_GB2312"/>
                <w:kern w:val="0"/>
                <w:sz w:val="24"/>
              </w:rPr>
              <w:t>具备良好的师德师风，具有丰富教学经验</w:t>
            </w:r>
            <w:r>
              <w:rPr>
                <w:rFonts w:ascii="仿宋_GB2312" w:eastAsia="仿宋_GB2312" w:cs="仿宋_GB2312" w:hint="eastAsia"/>
                <w:kern w:val="0"/>
                <w:sz w:val="24"/>
              </w:rPr>
              <w:t>，</w:t>
            </w:r>
            <w:r>
              <w:rPr>
                <w:rFonts w:ascii="仿宋_GB2312" w:eastAsia="仿宋_GB2312" w:cs="仿宋_GB2312"/>
                <w:kern w:val="0"/>
                <w:sz w:val="24"/>
              </w:rPr>
              <w:t>积极投身教学改革，教学能力强，</w:t>
            </w:r>
            <w:r>
              <w:rPr>
                <w:rFonts w:ascii="仿宋_GB2312" w:eastAsia="仿宋_GB2312" w:cs="仿宋_GB2312" w:hint="eastAsia"/>
                <w:kern w:val="0"/>
                <w:sz w:val="24"/>
              </w:rPr>
              <w:t>口碑良好，学生评教在85分以上。</w:t>
            </w:r>
          </w:p>
        </w:tc>
        <w:tc>
          <w:tcPr>
            <w:tcW w:w="761"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5分</w:t>
            </w:r>
          </w:p>
        </w:tc>
        <w:tc>
          <w:tcPr>
            <w:tcW w:w="793" w:type="dxa"/>
            <w:vMerge/>
            <w:vAlign w:val="center"/>
          </w:tcPr>
          <w:p w:rsidR="00525660" w:rsidRDefault="00525660" w:rsidP="00F90021">
            <w:pPr>
              <w:spacing w:line="360" w:lineRule="auto"/>
              <w:jc w:val="center"/>
              <w:rPr>
                <w:rFonts w:ascii="宋体" w:hAnsi="宋体" w:cs="宋体"/>
                <w:sz w:val="24"/>
              </w:rPr>
            </w:pPr>
          </w:p>
        </w:tc>
      </w:tr>
      <w:tr w:rsidR="00525660" w:rsidTr="00F90021">
        <w:trPr>
          <w:trHeight w:val="1418"/>
          <w:jc w:val="center"/>
        </w:trPr>
        <w:tc>
          <w:tcPr>
            <w:tcW w:w="1522" w:type="dxa"/>
            <w:vMerge w:val="restart"/>
            <w:vAlign w:val="center"/>
          </w:tcPr>
          <w:p w:rsidR="00525660" w:rsidRDefault="00525660" w:rsidP="00F90021">
            <w:pPr>
              <w:spacing w:line="360" w:lineRule="auto"/>
              <w:jc w:val="center"/>
              <w:rPr>
                <w:rFonts w:ascii="仿宋" w:eastAsia="仿宋" w:hAnsi="仿宋" w:cs="仿宋"/>
                <w:b/>
                <w:sz w:val="24"/>
              </w:rPr>
            </w:pPr>
            <w:r>
              <w:rPr>
                <w:rFonts w:ascii="仿宋" w:eastAsia="仿宋" w:hAnsi="仿宋" w:cs="仿宋" w:hint="eastAsia"/>
                <w:b/>
                <w:sz w:val="24"/>
              </w:rPr>
              <w:t>教学内容</w:t>
            </w:r>
          </w:p>
          <w:p w:rsidR="00525660" w:rsidRDefault="00525660" w:rsidP="00F90021">
            <w:pPr>
              <w:spacing w:line="360" w:lineRule="auto"/>
              <w:jc w:val="center"/>
              <w:rPr>
                <w:rFonts w:ascii="宋体" w:hAnsi="宋体" w:cs="宋体"/>
                <w:b/>
                <w:sz w:val="24"/>
              </w:rPr>
            </w:pPr>
            <w:r>
              <w:rPr>
                <w:rFonts w:ascii="仿宋" w:eastAsia="仿宋" w:hAnsi="仿宋" w:cs="仿宋" w:hint="eastAsia"/>
                <w:b/>
                <w:sz w:val="24"/>
              </w:rPr>
              <w:t>(55分)</w:t>
            </w:r>
          </w:p>
        </w:tc>
        <w:tc>
          <w:tcPr>
            <w:tcW w:w="1588"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教学理念</w:t>
            </w:r>
          </w:p>
        </w:tc>
        <w:tc>
          <w:tcPr>
            <w:tcW w:w="4341" w:type="dxa"/>
            <w:vAlign w:val="center"/>
          </w:tcPr>
          <w:p w:rsidR="00525660" w:rsidRDefault="00525660" w:rsidP="00F90021">
            <w:pPr>
              <w:rPr>
                <w:rFonts w:ascii="仿宋_GB2312" w:eastAsia="仿宋_GB2312" w:cs="仿宋_GB2312"/>
                <w:kern w:val="0"/>
                <w:sz w:val="24"/>
              </w:rPr>
            </w:pPr>
            <w:r>
              <w:rPr>
                <w:rFonts w:ascii="仿宋_GB2312" w:eastAsia="仿宋_GB2312" w:cs="仿宋_GB2312"/>
                <w:kern w:val="0"/>
                <w:sz w:val="24"/>
              </w:rPr>
              <w:t>坚持立德树人，注重将</w:t>
            </w:r>
            <w:proofErr w:type="gramStart"/>
            <w:r>
              <w:rPr>
                <w:rFonts w:ascii="仿宋_GB2312" w:eastAsia="仿宋_GB2312" w:cs="仿宋_GB2312"/>
                <w:kern w:val="0"/>
                <w:sz w:val="24"/>
              </w:rPr>
              <w:t>课程思政与</w:t>
            </w:r>
            <w:proofErr w:type="gramEnd"/>
            <w:r>
              <w:rPr>
                <w:rFonts w:ascii="仿宋_GB2312" w:eastAsia="仿宋_GB2312" w:cs="仿宋_GB2312"/>
                <w:kern w:val="0"/>
                <w:sz w:val="24"/>
              </w:rPr>
              <w:t>专业教育紧密融合，实现价值引领、知识传授、能力培养有机结合并贯穿课程教学全过程。</w:t>
            </w:r>
          </w:p>
        </w:tc>
        <w:tc>
          <w:tcPr>
            <w:tcW w:w="761"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15分</w:t>
            </w:r>
          </w:p>
        </w:tc>
        <w:tc>
          <w:tcPr>
            <w:tcW w:w="793" w:type="dxa"/>
            <w:vMerge w:val="restart"/>
            <w:vAlign w:val="center"/>
          </w:tcPr>
          <w:p w:rsidR="00525660" w:rsidRDefault="00525660" w:rsidP="00F90021">
            <w:pPr>
              <w:spacing w:line="360" w:lineRule="auto"/>
              <w:jc w:val="center"/>
              <w:rPr>
                <w:rFonts w:ascii="宋体" w:hAnsi="宋体" w:cs="宋体"/>
                <w:sz w:val="24"/>
              </w:rPr>
            </w:pPr>
          </w:p>
        </w:tc>
      </w:tr>
      <w:tr w:rsidR="00525660" w:rsidTr="00F90021">
        <w:trPr>
          <w:trHeight w:val="1066"/>
          <w:jc w:val="center"/>
        </w:trPr>
        <w:tc>
          <w:tcPr>
            <w:tcW w:w="1522" w:type="dxa"/>
            <w:vMerge/>
            <w:vAlign w:val="center"/>
          </w:tcPr>
          <w:p w:rsidR="00525660" w:rsidRDefault="00525660" w:rsidP="00F90021">
            <w:pPr>
              <w:spacing w:line="360" w:lineRule="auto"/>
              <w:jc w:val="center"/>
              <w:rPr>
                <w:rFonts w:ascii="宋体" w:hAnsi="宋体" w:cs="宋体"/>
                <w:b/>
                <w:sz w:val="24"/>
              </w:rPr>
            </w:pPr>
          </w:p>
        </w:tc>
        <w:tc>
          <w:tcPr>
            <w:tcW w:w="1588"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课程目标</w:t>
            </w:r>
          </w:p>
        </w:tc>
        <w:tc>
          <w:tcPr>
            <w:tcW w:w="4341" w:type="dxa"/>
            <w:vAlign w:val="center"/>
          </w:tcPr>
          <w:p w:rsidR="00525660" w:rsidRDefault="00525660" w:rsidP="00F90021">
            <w:pPr>
              <w:rPr>
                <w:rFonts w:ascii="仿宋_GB2312" w:eastAsia="仿宋_GB2312" w:cs="仿宋_GB2312"/>
                <w:kern w:val="0"/>
                <w:sz w:val="24"/>
              </w:rPr>
            </w:pPr>
            <w:r>
              <w:rPr>
                <w:rFonts w:ascii="仿宋_GB2312" w:eastAsia="仿宋_GB2312" w:cs="仿宋_GB2312" w:hint="eastAsia"/>
                <w:kern w:val="0"/>
                <w:sz w:val="24"/>
              </w:rPr>
              <w:t>课程目标定位合理，坚持知识传授与价值引领相结合</w:t>
            </w:r>
            <w:r>
              <w:rPr>
                <w:rFonts w:ascii="仿宋_GB2312" w:eastAsia="仿宋_GB2312" w:cs="仿宋_GB2312"/>
                <w:kern w:val="0"/>
                <w:sz w:val="24"/>
              </w:rPr>
              <w:t>，始终贯穿课程每一章节。</w:t>
            </w:r>
          </w:p>
        </w:tc>
        <w:tc>
          <w:tcPr>
            <w:tcW w:w="761"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15分</w:t>
            </w:r>
          </w:p>
        </w:tc>
        <w:tc>
          <w:tcPr>
            <w:tcW w:w="793" w:type="dxa"/>
            <w:vMerge/>
            <w:vAlign w:val="center"/>
          </w:tcPr>
          <w:p w:rsidR="00525660" w:rsidRDefault="00525660" w:rsidP="00F90021">
            <w:pPr>
              <w:spacing w:line="360" w:lineRule="auto"/>
              <w:jc w:val="center"/>
              <w:rPr>
                <w:rFonts w:ascii="宋体" w:hAnsi="宋体" w:cs="宋体"/>
                <w:sz w:val="24"/>
              </w:rPr>
            </w:pPr>
          </w:p>
        </w:tc>
      </w:tr>
      <w:tr w:rsidR="00525660" w:rsidTr="00F90021">
        <w:trPr>
          <w:trHeight w:val="1418"/>
          <w:jc w:val="center"/>
        </w:trPr>
        <w:tc>
          <w:tcPr>
            <w:tcW w:w="1522" w:type="dxa"/>
            <w:vMerge/>
            <w:vAlign w:val="center"/>
          </w:tcPr>
          <w:p w:rsidR="00525660" w:rsidRDefault="00525660" w:rsidP="00F90021">
            <w:pPr>
              <w:spacing w:line="360" w:lineRule="auto"/>
              <w:jc w:val="center"/>
              <w:rPr>
                <w:rFonts w:ascii="宋体" w:hAnsi="宋体" w:cs="宋体"/>
                <w:b/>
                <w:sz w:val="24"/>
              </w:rPr>
            </w:pPr>
          </w:p>
        </w:tc>
        <w:tc>
          <w:tcPr>
            <w:tcW w:w="1588"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课程内容</w:t>
            </w:r>
          </w:p>
        </w:tc>
        <w:tc>
          <w:tcPr>
            <w:tcW w:w="4341" w:type="dxa"/>
            <w:vAlign w:val="center"/>
          </w:tcPr>
          <w:p w:rsidR="00525660" w:rsidRDefault="00525660" w:rsidP="00F90021">
            <w:pPr>
              <w:rPr>
                <w:rFonts w:ascii="仿宋_GB2312" w:eastAsia="仿宋_GB2312" w:cs="仿宋_GB2312"/>
                <w:kern w:val="0"/>
                <w:sz w:val="24"/>
              </w:rPr>
            </w:pPr>
            <w:r>
              <w:rPr>
                <w:rFonts w:ascii="仿宋_GB2312" w:eastAsia="仿宋_GB2312" w:cs="仿宋_GB2312" w:hint="eastAsia"/>
                <w:kern w:val="0"/>
                <w:sz w:val="24"/>
              </w:rPr>
              <w:t>明确思想政治教育的融入点，积极培育和</w:t>
            </w:r>
            <w:proofErr w:type="gramStart"/>
            <w:r>
              <w:rPr>
                <w:rFonts w:ascii="仿宋_GB2312" w:eastAsia="仿宋_GB2312" w:cs="仿宋_GB2312" w:hint="eastAsia"/>
                <w:kern w:val="0"/>
                <w:sz w:val="24"/>
              </w:rPr>
              <w:t>践行</w:t>
            </w:r>
            <w:proofErr w:type="gramEnd"/>
            <w:r>
              <w:rPr>
                <w:rFonts w:ascii="仿宋_GB2312" w:eastAsia="仿宋_GB2312" w:cs="仿宋_GB2312" w:hint="eastAsia"/>
                <w:kern w:val="0"/>
                <w:sz w:val="24"/>
              </w:rPr>
              <w:t>社会主义核心价值观，突出专业内容与</w:t>
            </w:r>
            <w:proofErr w:type="gramStart"/>
            <w:r>
              <w:rPr>
                <w:rFonts w:ascii="仿宋_GB2312" w:eastAsia="仿宋_GB2312" w:cs="仿宋_GB2312" w:hint="eastAsia"/>
                <w:kern w:val="0"/>
                <w:sz w:val="24"/>
              </w:rPr>
              <w:t>思政内容</w:t>
            </w:r>
            <w:proofErr w:type="gramEnd"/>
            <w:r>
              <w:rPr>
                <w:rFonts w:ascii="仿宋_GB2312" w:eastAsia="仿宋_GB2312" w:cs="仿宋_GB2312" w:hint="eastAsia"/>
                <w:kern w:val="0"/>
                <w:sz w:val="24"/>
              </w:rPr>
              <w:t>的无痕对接，体现课程内容思想性、科学性与时代性。</w:t>
            </w:r>
          </w:p>
        </w:tc>
        <w:tc>
          <w:tcPr>
            <w:tcW w:w="761"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25分</w:t>
            </w:r>
          </w:p>
        </w:tc>
        <w:tc>
          <w:tcPr>
            <w:tcW w:w="793" w:type="dxa"/>
            <w:vMerge/>
            <w:vAlign w:val="center"/>
          </w:tcPr>
          <w:p w:rsidR="00525660" w:rsidRDefault="00525660" w:rsidP="00F90021">
            <w:pPr>
              <w:spacing w:line="360" w:lineRule="auto"/>
              <w:jc w:val="center"/>
              <w:rPr>
                <w:rFonts w:ascii="宋体" w:hAnsi="宋体" w:cs="宋体"/>
                <w:sz w:val="24"/>
              </w:rPr>
            </w:pPr>
          </w:p>
        </w:tc>
      </w:tr>
      <w:tr w:rsidR="00525660" w:rsidTr="00F90021">
        <w:trPr>
          <w:trHeight w:val="1418"/>
          <w:jc w:val="center"/>
        </w:trPr>
        <w:tc>
          <w:tcPr>
            <w:tcW w:w="1522" w:type="dxa"/>
            <w:vMerge w:val="restart"/>
            <w:vAlign w:val="center"/>
          </w:tcPr>
          <w:p w:rsidR="00525660" w:rsidRDefault="00525660" w:rsidP="00F90021">
            <w:pPr>
              <w:spacing w:line="360" w:lineRule="auto"/>
              <w:jc w:val="center"/>
              <w:rPr>
                <w:rFonts w:ascii="宋体" w:hAnsi="宋体" w:cs="宋体"/>
                <w:b/>
                <w:sz w:val="24"/>
              </w:rPr>
            </w:pPr>
            <w:r>
              <w:rPr>
                <w:rFonts w:ascii="仿宋" w:eastAsia="仿宋" w:hAnsi="仿宋" w:cs="仿宋" w:hint="eastAsia"/>
                <w:b/>
                <w:sz w:val="24"/>
              </w:rPr>
              <w:t>教学方法与手段(20分)</w:t>
            </w:r>
          </w:p>
        </w:tc>
        <w:tc>
          <w:tcPr>
            <w:tcW w:w="1588"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教学方法、手段的使用</w:t>
            </w:r>
          </w:p>
        </w:tc>
        <w:tc>
          <w:tcPr>
            <w:tcW w:w="4341" w:type="dxa"/>
            <w:vAlign w:val="center"/>
          </w:tcPr>
          <w:p w:rsidR="00525660" w:rsidRDefault="00525660" w:rsidP="00F90021">
            <w:pPr>
              <w:rPr>
                <w:rFonts w:ascii="仿宋_GB2312" w:eastAsia="仿宋_GB2312" w:cs="仿宋_GB2312"/>
                <w:kern w:val="0"/>
                <w:sz w:val="24"/>
              </w:rPr>
            </w:pPr>
            <w:r>
              <w:rPr>
                <w:rFonts w:ascii="仿宋_GB2312" w:eastAsia="仿宋_GB2312" w:cs="仿宋_GB2312" w:hint="eastAsia"/>
                <w:kern w:val="0"/>
                <w:sz w:val="24"/>
              </w:rPr>
              <w:t>能根据“课程思政”内容及学生特征选用恰当的教学方法及手段，</w:t>
            </w:r>
            <w:r>
              <w:rPr>
                <w:rFonts w:ascii="仿宋_GB2312" w:eastAsia="仿宋_GB2312" w:cs="仿宋_GB2312"/>
                <w:kern w:val="0"/>
                <w:sz w:val="24"/>
              </w:rPr>
              <w:t>积极采用案例</w:t>
            </w:r>
            <w:r>
              <w:rPr>
                <w:rFonts w:ascii="仿宋_GB2312" w:eastAsia="仿宋_GB2312" w:cs="仿宋_GB2312" w:hint="eastAsia"/>
                <w:kern w:val="0"/>
                <w:sz w:val="24"/>
              </w:rPr>
              <w:t>式</w:t>
            </w:r>
            <w:r>
              <w:rPr>
                <w:rFonts w:ascii="仿宋_GB2312" w:eastAsia="仿宋_GB2312" w:cs="仿宋_GB2312"/>
                <w:kern w:val="0"/>
                <w:sz w:val="24"/>
              </w:rPr>
              <w:t>、探究式、体验式等教学方法，促进师生、生生交流互动与情感共鸣。</w:t>
            </w:r>
          </w:p>
        </w:tc>
        <w:tc>
          <w:tcPr>
            <w:tcW w:w="761"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10分</w:t>
            </w:r>
          </w:p>
        </w:tc>
        <w:tc>
          <w:tcPr>
            <w:tcW w:w="793" w:type="dxa"/>
            <w:vMerge w:val="restart"/>
            <w:vAlign w:val="center"/>
          </w:tcPr>
          <w:p w:rsidR="00525660" w:rsidRDefault="00525660" w:rsidP="00F90021">
            <w:pPr>
              <w:spacing w:line="360" w:lineRule="auto"/>
              <w:jc w:val="center"/>
              <w:rPr>
                <w:rFonts w:ascii="宋体" w:hAnsi="宋体" w:cs="宋体"/>
                <w:sz w:val="24"/>
              </w:rPr>
            </w:pPr>
          </w:p>
        </w:tc>
      </w:tr>
      <w:tr w:rsidR="00525660" w:rsidTr="00F90021">
        <w:trPr>
          <w:trHeight w:val="1066"/>
          <w:jc w:val="center"/>
        </w:trPr>
        <w:tc>
          <w:tcPr>
            <w:tcW w:w="1522" w:type="dxa"/>
            <w:vMerge/>
            <w:vAlign w:val="center"/>
          </w:tcPr>
          <w:p w:rsidR="00525660" w:rsidRDefault="00525660" w:rsidP="00F90021">
            <w:pPr>
              <w:spacing w:line="360" w:lineRule="auto"/>
              <w:jc w:val="center"/>
              <w:rPr>
                <w:rFonts w:ascii="宋体" w:hAnsi="宋体" w:cs="宋体"/>
                <w:sz w:val="24"/>
              </w:rPr>
            </w:pPr>
          </w:p>
        </w:tc>
        <w:tc>
          <w:tcPr>
            <w:tcW w:w="1588"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考核、考试方法的使用</w:t>
            </w:r>
          </w:p>
        </w:tc>
        <w:tc>
          <w:tcPr>
            <w:tcW w:w="4341" w:type="dxa"/>
            <w:vAlign w:val="center"/>
          </w:tcPr>
          <w:p w:rsidR="00525660" w:rsidRDefault="00525660" w:rsidP="00F90021">
            <w:pPr>
              <w:rPr>
                <w:rFonts w:ascii="仿宋_GB2312" w:eastAsia="仿宋_GB2312" w:cs="仿宋_GB2312"/>
                <w:kern w:val="0"/>
                <w:sz w:val="24"/>
              </w:rPr>
            </w:pPr>
            <w:r>
              <w:rPr>
                <w:rFonts w:ascii="仿宋_GB2312" w:eastAsia="仿宋_GB2312" w:cs="仿宋_GB2312" w:hint="eastAsia"/>
                <w:kern w:val="0"/>
                <w:sz w:val="24"/>
              </w:rPr>
              <w:t>过程考核，知识、能力、素质多维</w:t>
            </w:r>
            <w:proofErr w:type="gramStart"/>
            <w:r>
              <w:rPr>
                <w:rFonts w:ascii="仿宋_GB2312" w:eastAsia="仿宋_GB2312" w:cs="仿宋_GB2312" w:hint="eastAsia"/>
                <w:kern w:val="0"/>
                <w:sz w:val="24"/>
              </w:rPr>
              <w:t>度考核</w:t>
            </w:r>
            <w:proofErr w:type="gramEnd"/>
            <w:r>
              <w:rPr>
                <w:rFonts w:ascii="仿宋_GB2312" w:eastAsia="仿宋_GB2312" w:cs="仿宋_GB2312" w:hint="eastAsia"/>
                <w:kern w:val="0"/>
                <w:sz w:val="24"/>
              </w:rPr>
              <w:t>等，注重学生思想政治表现。</w:t>
            </w:r>
          </w:p>
        </w:tc>
        <w:tc>
          <w:tcPr>
            <w:tcW w:w="761"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10分</w:t>
            </w:r>
          </w:p>
        </w:tc>
        <w:tc>
          <w:tcPr>
            <w:tcW w:w="793" w:type="dxa"/>
            <w:vMerge/>
            <w:vAlign w:val="center"/>
          </w:tcPr>
          <w:p w:rsidR="00525660" w:rsidRDefault="00525660" w:rsidP="00F90021">
            <w:pPr>
              <w:spacing w:line="360" w:lineRule="auto"/>
              <w:jc w:val="center"/>
              <w:rPr>
                <w:rFonts w:ascii="宋体" w:hAnsi="宋体" w:cs="宋体"/>
                <w:sz w:val="24"/>
              </w:rPr>
            </w:pPr>
          </w:p>
        </w:tc>
      </w:tr>
      <w:tr w:rsidR="00525660" w:rsidTr="00F90021">
        <w:trPr>
          <w:trHeight w:val="1066"/>
          <w:jc w:val="center"/>
        </w:trPr>
        <w:tc>
          <w:tcPr>
            <w:tcW w:w="1522" w:type="dxa"/>
            <w:vAlign w:val="center"/>
          </w:tcPr>
          <w:p w:rsidR="00525660" w:rsidRDefault="00525660" w:rsidP="00F90021">
            <w:pPr>
              <w:spacing w:line="360" w:lineRule="auto"/>
              <w:jc w:val="center"/>
              <w:rPr>
                <w:rFonts w:ascii="仿宋" w:eastAsia="仿宋" w:hAnsi="仿宋" w:cs="仿宋"/>
                <w:b/>
                <w:sz w:val="24"/>
              </w:rPr>
            </w:pPr>
            <w:r>
              <w:rPr>
                <w:rFonts w:ascii="仿宋" w:eastAsia="仿宋" w:hAnsi="仿宋" w:cs="仿宋" w:hint="eastAsia"/>
                <w:b/>
                <w:sz w:val="24"/>
              </w:rPr>
              <w:t>教材选用</w:t>
            </w:r>
          </w:p>
          <w:p w:rsidR="00525660" w:rsidRDefault="00525660" w:rsidP="00F90021">
            <w:pPr>
              <w:spacing w:line="360" w:lineRule="auto"/>
              <w:jc w:val="center"/>
              <w:rPr>
                <w:rFonts w:ascii="宋体" w:hAnsi="宋体" w:cs="宋体"/>
                <w:sz w:val="24"/>
              </w:rPr>
            </w:pPr>
            <w:r>
              <w:rPr>
                <w:rFonts w:ascii="仿宋" w:eastAsia="仿宋" w:hAnsi="仿宋" w:cs="仿宋" w:hint="eastAsia"/>
                <w:b/>
                <w:sz w:val="24"/>
              </w:rPr>
              <w:t>(5分)</w:t>
            </w:r>
          </w:p>
        </w:tc>
        <w:tc>
          <w:tcPr>
            <w:tcW w:w="1588"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规范教材的选用</w:t>
            </w:r>
          </w:p>
        </w:tc>
        <w:tc>
          <w:tcPr>
            <w:tcW w:w="4341" w:type="dxa"/>
            <w:vAlign w:val="center"/>
          </w:tcPr>
          <w:p w:rsidR="00525660" w:rsidRDefault="00525660" w:rsidP="00F90021">
            <w:pPr>
              <w:rPr>
                <w:rFonts w:ascii="仿宋_GB2312" w:eastAsia="仿宋_GB2312" w:cs="仿宋_GB2312"/>
                <w:kern w:val="0"/>
                <w:sz w:val="24"/>
              </w:rPr>
            </w:pPr>
            <w:r>
              <w:rPr>
                <w:rFonts w:ascii="仿宋_GB2312" w:eastAsia="仿宋_GB2312" w:cs="仿宋_GB2312" w:hint="eastAsia"/>
                <w:kern w:val="0"/>
                <w:sz w:val="24"/>
              </w:rPr>
              <w:t>将规划教材、优秀教材、特色教材等作为教材选用主体，人文科学、哲学社会科学课程统一使用马克思主义理论研究和建设工程重点教材，确保教材质量。</w:t>
            </w:r>
          </w:p>
        </w:tc>
        <w:tc>
          <w:tcPr>
            <w:tcW w:w="761"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5分</w:t>
            </w:r>
          </w:p>
        </w:tc>
        <w:tc>
          <w:tcPr>
            <w:tcW w:w="793" w:type="dxa"/>
            <w:vAlign w:val="center"/>
          </w:tcPr>
          <w:p w:rsidR="00525660" w:rsidRDefault="00525660" w:rsidP="00F90021">
            <w:pPr>
              <w:spacing w:line="360" w:lineRule="auto"/>
              <w:jc w:val="center"/>
              <w:rPr>
                <w:rFonts w:ascii="宋体" w:hAnsi="宋体" w:cs="宋体"/>
                <w:sz w:val="24"/>
              </w:rPr>
            </w:pPr>
          </w:p>
        </w:tc>
      </w:tr>
      <w:tr w:rsidR="00525660" w:rsidTr="00F90021">
        <w:trPr>
          <w:trHeight w:val="1429"/>
          <w:jc w:val="center"/>
        </w:trPr>
        <w:tc>
          <w:tcPr>
            <w:tcW w:w="1522" w:type="dxa"/>
            <w:vAlign w:val="center"/>
          </w:tcPr>
          <w:p w:rsidR="00525660" w:rsidRDefault="00525660" w:rsidP="00F90021">
            <w:pPr>
              <w:spacing w:line="360" w:lineRule="auto"/>
              <w:jc w:val="center"/>
              <w:rPr>
                <w:rFonts w:ascii="仿宋" w:eastAsia="仿宋" w:hAnsi="仿宋" w:cs="仿宋"/>
                <w:b/>
                <w:sz w:val="24"/>
              </w:rPr>
            </w:pPr>
            <w:r>
              <w:rPr>
                <w:rFonts w:ascii="仿宋" w:eastAsia="仿宋" w:hAnsi="仿宋" w:cs="仿宋" w:hint="eastAsia"/>
                <w:b/>
                <w:sz w:val="24"/>
              </w:rPr>
              <w:t>教学资源</w:t>
            </w:r>
          </w:p>
          <w:p w:rsidR="00525660" w:rsidRDefault="00525660" w:rsidP="00F90021">
            <w:pPr>
              <w:spacing w:line="360" w:lineRule="auto"/>
              <w:jc w:val="center"/>
              <w:rPr>
                <w:rFonts w:ascii="宋体" w:hAnsi="宋体" w:cs="宋体"/>
                <w:b/>
                <w:sz w:val="24"/>
              </w:rPr>
            </w:pPr>
            <w:r>
              <w:rPr>
                <w:rFonts w:ascii="仿宋" w:eastAsia="仿宋" w:hAnsi="仿宋" w:cs="仿宋" w:hint="eastAsia"/>
                <w:b/>
                <w:sz w:val="24"/>
              </w:rPr>
              <w:t>（5分）</w:t>
            </w:r>
          </w:p>
        </w:tc>
        <w:tc>
          <w:tcPr>
            <w:tcW w:w="1588" w:type="dxa"/>
            <w:vAlign w:val="center"/>
          </w:tcPr>
          <w:p w:rsidR="00525660" w:rsidRDefault="00525660" w:rsidP="00F90021">
            <w:pPr>
              <w:spacing w:line="360" w:lineRule="auto"/>
              <w:jc w:val="center"/>
              <w:rPr>
                <w:rFonts w:ascii="宋体" w:hAnsi="宋体" w:cs="宋体"/>
                <w:sz w:val="24"/>
              </w:rPr>
            </w:pPr>
            <w:r>
              <w:rPr>
                <w:rFonts w:ascii="仿宋_GB2312" w:eastAsia="仿宋_GB2312" w:cs="仿宋_GB2312" w:hint="eastAsia"/>
                <w:kern w:val="0"/>
                <w:sz w:val="24"/>
              </w:rPr>
              <w:t>“课程思政”相关材料</w:t>
            </w:r>
          </w:p>
        </w:tc>
        <w:tc>
          <w:tcPr>
            <w:tcW w:w="4341" w:type="dxa"/>
            <w:vAlign w:val="center"/>
          </w:tcPr>
          <w:p w:rsidR="00525660" w:rsidRDefault="00525660" w:rsidP="00F90021">
            <w:pPr>
              <w:rPr>
                <w:rFonts w:ascii="仿宋_GB2312" w:eastAsia="仿宋_GB2312" w:cs="仿宋_GB2312"/>
                <w:kern w:val="0"/>
                <w:sz w:val="24"/>
              </w:rPr>
            </w:pPr>
            <w:r>
              <w:rPr>
                <w:rFonts w:ascii="仿宋_GB2312" w:eastAsia="仿宋_GB2312" w:cs="仿宋_GB2312" w:hint="eastAsia"/>
                <w:kern w:val="0"/>
                <w:sz w:val="24"/>
              </w:rPr>
              <w:t>体现“课程思政”特点的新课程标准（教学大纲）、新课件、新教案；典型案例及体现改革成效材料（包含视频、照片、文字等多种形式）。</w:t>
            </w:r>
          </w:p>
        </w:tc>
        <w:tc>
          <w:tcPr>
            <w:tcW w:w="761" w:type="dxa"/>
            <w:vAlign w:val="center"/>
          </w:tcPr>
          <w:p w:rsidR="00525660" w:rsidRDefault="00525660" w:rsidP="00F90021">
            <w:pPr>
              <w:jc w:val="center"/>
              <w:rPr>
                <w:rFonts w:ascii="仿宋_GB2312" w:eastAsia="仿宋_GB2312" w:cs="仿宋_GB2312"/>
                <w:kern w:val="0"/>
                <w:sz w:val="24"/>
              </w:rPr>
            </w:pPr>
            <w:r>
              <w:rPr>
                <w:rFonts w:ascii="仿宋_GB2312" w:eastAsia="仿宋_GB2312" w:cs="仿宋_GB2312" w:hint="eastAsia"/>
                <w:kern w:val="0"/>
                <w:sz w:val="24"/>
              </w:rPr>
              <w:t>5分</w:t>
            </w:r>
          </w:p>
        </w:tc>
        <w:tc>
          <w:tcPr>
            <w:tcW w:w="793" w:type="dxa"/>
            <w:vAlign w:val="center"/>
          </w:tcPr>
          <w:p w:rsidR="00525660" w:rsidRDefault="00525660" w:rsidP="00F90021">
            <w:pPr>
              <w:spacing w:line="360" w:lineRule="auto"/>
              <w:jc w:val="center"/>
              <w:rPr>
                <w:rFonts w:ascii="宋体" w:hAnsi="宋体" w:cs="宋体"/>
                <w:sz w:val="24"/>
              </w:rPr>
            </w:pPr>
          </w:p>
        </w:tc>
      </w:tr>
    </w:tbl>
    <w:p w:rsidR="00525660" w:rsidRDefault="00525660" w:rsidP="00525660">
      <w:pPr>
        <w:spacing w:line="360" w:lineRule="auto"/>
      </w:pPr>
    </w:p>
    <w:p w:rsidR="00AB449E" w:rsidRDefault="00AB449E"/>
    <w:sectPr w:rsidR="00AB4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60"/>
    <w:rsid w:val="00031C4F"/>
    <w:rsid w:val="0003591D"/>
    <w:rsid w:val="000368CA"/>
    <w:rsid w:val="00044251"/>
    <w:rsid w:val="000941E0"/>
    <w:rsid w:val="000B5ED1"/>
    <w:rsid w:val="000C3FB7"/>
    <w:rsid w:val="000F4F5E"/>
    <w:rsid w:val="000F5B8A"/>
    <w:rsid w:val="0011482A"/>
    <w:rsid w:val="00114A79"/>
    <w:rsid w:val="00123D66"/>
    <w:rsid w:val="001405D7"/>
    <w:rsid w:val="00140F39"/>
    <w:rsid w:val="00153A0F"/>
    <w:rsid w:val="001641AD"/>
    <w:rsid w:val="00171489"/>
    <w:rsid w:val="00186044"/>
    <w:rsid w:val="001B5CCA"/>
    <w:rsid w:val="001E421E"/>
    <w:rsid w:val="001F61A6"/>
    <w:rsid w:val="00201CD0"/>
    <w:rsid w:val="00201EE1"/>
    <w:rsid w:val="00213E07"/>
    <w:rsid w:val="00221CC4"/>
    <w:rsid w:val="00232DEA"/>
    <w:rsid w:val="00251465"/>
    <w:rsid w:val="00274E3E"/>
    <w:rsid w:val="002B53F6"/>
    <w:rsid w:val="002D5EAB"/>
    <w:rsid w:val="002E5BD4"/>
    <w:rsid w:val="00316A9D"/>
    <w:rsid w:val="003753B2"/>
    <w:rsid w:val="003A39BC"/>
    <w:rsid w:val="003B264A"/>
    <w:rsid w:val="003C0C3A"/>
    <w:rsid w:val="00411192"/>
    <w:rsid w:val="00413628"/>
    <w:rsid w:val="00415939"/>
    <w:rsid w:val="00427125"/>
    <w:rsid w:val="00432AB6"/>
    <w:rsid w:val="00444D68"/>
    <w:rsid w:val="00450C24"/>
    <w:rsid w:val="00472799"/>
    <w:rsid w:val="00494D5B"/>
    <w:rsid w:val="0049614F"/>
    <w:rsid w:val="004B3D5B"/>
    <w:rsid w:val="004D45F9"/>
    <w:rsid w:val="004E0876"/>
    <w:rsid w:val="004E2006"/>
    <w:rsid w:val="004F0D03"/>
    <w:rsid w:val="0050105C"/>
    <w:rsid w:val="00517C74"/>
    <w:rsid w:val="00525660"/>
    <w:rsid w:val="00594490"/>
    <w:rsid w:val="005958DD"/>
    <w:rsid w:val="005A709E"/>
    <w:rsid w:val="005B5846"/>
    <w:rsid w:val="005C12FC"/>
    <w:rsid w:val="005D175F"/>
    <w:rsid w:val="005E27D7"/>
    <w:rsid w:val="005E3A09"/>
    <w:rsid w:val="005F53D2"/>
    <w:rsid w:val="005F7E9C"/>
    <w:rsid w:val="00617BAA"/>
    <w:rsid w:val="00622C08"/>
    <w:rsid w:val="006275E8"/>
    <w:rsid w:val="00652F32"/>
    <w:rsid w:val="006549C0"/>
    <w:rsid w:val="00687092"/>
    <w:rsid w:val="006C0549"/>
    <w:rsid w:val="006C13EE"/>
    <w:rsid w:val="006C54C9"/>
    <w:rsid w:val="006D5CFB"/>
    <w:rsid w:val="006D5D69"/>
    <w:rsid w:val="00731F02"/>
    <w:rsid w:val="00746830"/>
    <w:rsid w:val="00771E57"/>
    <w:rsid w:val="0077202C"/>
    <w:rsid w:val="007801C7"/>
    <w:rsid w:val="007A25E5"/>
    <w:rsid w:val="007C11AA"/>
    <w:rsid w:val="007F2D77"/>
    <w:rsid w:val="00806406"/>
    <w:rsid w:val="00813716"/>
    <w:rsid w:val="008207C6"/>
    <w:rsid w:val="008271C1"/>
    <w:rsid w:val="008314E0"/>
    <w:rsid w:val="0084430F"/>
    <w:rsid w:val="00877AB3"/>
    <w:rsid w:val="008906CF"/>
    <w:rsid w:val="008926B6"/>
    <w:rsid w:val="008956D1"/>
    <w:rsid w:val="00897CB1"/>
    <w:rsid w:val="008A5CDF"/>
    <w:rsid w:val="008B7C30"/>
    <w:rsid w:val="008C0738"/>
    <w:rsid w:val="008D7432"/>
    <w:rsid w:val="008D7845"/>
    <w:rsid w:val="008F75C7"/>
    <w:rsid w:val="0091274E"/>
    <w:rsid w:val="009333FF"/>
    <w:rsid w:val="009452EE"/>
    <w:rsid w:val="00951921"/>
    <w:rsid w:val="009573EE"/>
    <w:rsid w:val="00974605"/>
    <w:rsid w:val="009927C4"/>
    <w:rsid w:val="009A1E64"/>
    <w:rsid w:val="009A4CE8"/>
    <w:rsid w:val="009A5321"/>
    <w:rsid w:val="00A12DAF"/>
    <w:rsid w:val="00A222CD"/>
    <w:rsid w:val="00A426A8"/>
    <w:rsid w:val="00A93348"/>
    <w:rsid w:val="00AB224D"/>
    <w:rsid w:val="00AB449E"/>
    <w:rsid w:val="00AB4D85"/>
    <w:rsid w:val="00AC690F"/>
    <w:rsid w:val="00AE56DB"/>
    <w:rsid w:val="00B07D32"/>
    <w:rsid w:val="00B13E1A"/>
    <w:rsid w:val="00B2012F"/>
    <w:rsid w:val="00B34991"/>
    <w:rsid w:val="00B64072"/>
    <w:rsid w:val="00B95A4F"/>
    <w:rsid w:val="00BB63B0"/>
    <w:rsid w:val="00BC32EB"/>
    <w:rsid w:val="00BE2C7E"/>
    <w:rsid w:val="00C0729A"/>
    <w:rsid w:val="00C13A75"/>
    <w:rsid w:val="00C22050"/>
    <w:rsid w:val="00C232D5"/>
    <w:rsid w:val="00C366B2"/>
    <w:rsid w:val="00C5311F"/>
    <w:rsid w:val="00C6467D"/>
    <w:rsid w:val="00C670A5"/>
    <w:rsid w:val="00C67C5F"/>
    <w:rsid w:val="00CB794D"/>
    <w:rsid w:val="00CC2711"/>
    <w:rsid w:val="00CF09CD"/>
    <w:rsid w:val="00D55C5C"/>
    <w:rsid w:val="00D855DD"/>
    <w:rsid w:val="00DA0833"/>
    <w:rsid w:val="00DC483D"/>
    <w:rsid w:val="00DD09D4"/>
    <w:rsid w:val="00E174AA"/>
    <w:rsid w:val="00E27370"/>
    <w:rsid w:val="00E6196F"/>
    <w:rsid w:val="00E63CAE"/>
    <w:rsid w:val="00E74048"/>
    <w:rsid w:val="00E94219"/>
    <w:rsid w:val="00EA3BC1"/>
    <w:rsid w:val="00EB596D"/>
    <w:rsid w:val="00F13628"/>
    <w:rsid w:val="00F50CBE"/>
    <w:rsid w:val="00F51940"/>
    <w:rsid w:val="00F543BD"/>
    <w:rsid w:val="00F90279"/>
    <w:rsid w:val="00F9083E"/>
    <w:rsid w:val="00F9339A"/>
    <w:rsid w:val="00F96640"/>
    <w:rsid w:val="00FB278A"/>
    <w:rsid w:val="00FC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66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25660"/>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66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25660"/>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616</Characters>
  <Application>Microsoft Office Word</Application>
  <DocSecurity>0</DocSecurity>
  <Lines>5</Lines>
  <Paragraphs>1</Paragraphs>
  <ScaleCrop>false</ScaleCrop>
  <Company>微软中国</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2021-04-28T09:02:00Z</dcterms:created>
  <dcterms:modified xsi:type="dcterms:W3CDTF">2021-04-28T09:03:00Z</dcterms:modified>
</cp:coreProperties>
</file>